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A9" w:rsidRDefault="00F305A9" w:rsidP="00E52368">
      <w:bookmarkStart w:id="0" w:name="_GoBack"/>
      <w:bookmarkEnd w:id="0"/>
    </w:p>
    <w:p w:rsidR="00E52368" w:rsidRDefault="009179F4" w:rsidP="00E5236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5pt;height:43.5pt" fillcolor="#00b0f0">
            <v:shadow on="t" opacity="52429f"/>
            <v:textpath style="font-family:&quot;Arial Black&quot;;font-style:italic;v-text-kern:t" trim="t" fitpath="t" string="Чем занять ребенка в дороге? "/>
          </v:shape>
        </w:pict>
      </w:r>
    </w:p>
    <w:p w:rsidR="00E52368" w:rsidRPr="00E52368" w:rsidRDefault="00E52368" w:rsidP="00E52368"/>
    <w:p w:rsidR="00E52368" w:rsidRDefault="00E52368" w:rsidP="00E52368"/>
    <w:tbl>
      <w:tblPr>
        <w:tblpPr w:leftFromText="180" w:rightFromText="180" w:vertAnchor="text" w:tblpX="-4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6"/>
      </w:tblGrid>
      <w:tr w:rsidR="00E52368" w:rsidTr="00E52368">
        <w:trPr>
          <w:trHeight w:val="4526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2368" w:rsidRDefault="001A1BB5" w:rsidP="00E5236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2647950" cy="3105150"/>
                  <wp:effectExtent l="0" t="0" r="0" b="0"/>
                  <wp:docPr id="2" name="Рисунок 2" descr="3f0b7d1df43bbdb8443cce11bb4c705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f0b7d1df43bbdb8443cce11bb4c705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Pr="00F6314D">
        <w:rPr>
          <w:rFonts w:ascii="Cambria" w:hAnsi="Cambria"/>
          <w:color w:val="3333CC"/>
          <w:sz w:val="28"/>
          <w:szCs w:val="28"/>
        </w:rPr>
        <w:t xml:space="preserve">Путешествие в автомобиле ограничивает маленькому непоседе возможность двигаться; и поскольку «действовать» — естественное состояние малыша, то ему бывает так трудно усидеть в ограниченном пространстве, да еще «смирно». Взрослым приходится быть особенно изобретательными, занимая ум ребенка, когда его тело пристегнуто ремнями безопасности. Поэтому для того, чтобы развлечь малыша, возьмите с собой в дорогу сумку, положите в нее несколько маленьких игрушек, куклу, одевающуюся на пальцы, игрушечный самолет, и кассетный плейер с записями нескольких сказок или песен. </w:t>
      </w: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</w:p>
    <w:tbl>
      <w:tblPr>
        <w:tblpPr w:leftFromText="180" w:rightFromText="180" w:vertAnchor="text" w:horzAnchor="margin" w:tblpXSpec="right" w:tblpY="67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280"/>
      </w:tblGrid>
      <w:tr w:rsidR="00E52368" w:rsidRPr="00F6314D" w:rsidTr="00E52368">
        <w:trPr>
          <w:trHeight w:val="3105"/>
        </w:trPr>
        <w:tc>
          <w:tcPr>
            <w:tcW w:w="3280" w:type="dxa"/>
          </w:tcPr>
          <w:p w:rsidR="00E52368" w:rsidRPr="00F6314D" w:rsidRDefault="001A1BB5" w:rsidP="00E52368">
            <w:pPr>
              <w:jc w:val="both"/>
              <w:rPr>
                <w:rFonts w:ascii="Cambria" w:hAnsi="Cambria"/>
                <w:color w:val="3333CC"/>
                <w:sz w:val="28"/>
                <w:szCs w:val="28"/>
              </w:rPr>
            </w:pPr>
            <w:r>
              <w:rPr>
                <w:rFonts w:ascii="Cambria" w:hAnsi="Cambria"/>
                <w:noProof/>
                <w:color w:val="3333CC"/>
                <w:sz w:val="28"/>
                <w:szCs w:val="28"/>
              </w:rPr>
              <w:drawing>
                <wp:inline distT="0" distB="0" distL="0" distR="0">
                  <wp:extent cx="1943100" cy="1943100"/>
                  <wp:effectExtent l="0" t="0" r="0" b="0"/>
                  <wp:docPr id="3" name="Рисунок 3" descr="cars-cd-playe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s-cd-playe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  <w:r w:rsidRPr="00F6314D">
        <w:rPr>
          <w:rFonts w:ascii="Cambria" w:hAnsi="Cambria"/>
          <w:color w:val="3333CC"/>
          <w:sz w:val="28"/>
          <w:szCs w:val="28"/>
        </w:rPr>
        <w:t xml:space="preserve">         Чтобы содержимое сумки вызвало интерес ребенка, положите в нее и необычную игрушку — «волшебную» грифельную доску, маленькую доску для мела или несколько игрушечных персонажей из сказок. Дети часто испытывают голод во время длительных поездок в автомашине. Чтобы они перестали хныкать и капризничать, предложите им еду, которая есть под рукой. Правда, лучше будет если вместо привычных леденцов вы возьмете с собой пакетики изюма, сыра, крекеров и сухих завтраков. </w:t>
      </w: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  <w:r w:rsidRPr="00F6314D">
        <w:rPr>
          <w:rFonts w:ascii="Cambria" w:hAnsi="Cambria"/>
          <w:color w:val="3333CC"/>
          <w:sz w:val="28"/>
          <w:szCs w:val="28"/>
        </w:rPr>
        <w:t>Неплохо было бы держать в багажнике еще и пластмассовый поднос. Он может пригодиться в том случае, если вашего ребенка осенит что-нибудь написать или нарисовать — поднос может послужить хорошим столом для рисования.</w:t>
      </w: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  <w:r w:rsidRPr="00F6314D">
        <w:rPr>
          <w:rFonts w:ascii="Cambria" w:hAnsi="Cambria"/>
          <w:color w:val="3333CC"/>
          <w:sz w:val="28"/>
          <w:szCs w:val="28"/>
        </w:rPr>
        <w:t xml:space="preserve">            Если у вас в машине есть магнитофон, поставьте записи детских песен или ваших любимых народных песен и подпевайте им. Конечно, можно обойтись и своими силами, а еще интереснее будет, если вы возьмете в машину пустую кассету и запишите ваше хоровое семейное исполнение.</w:t>
      </w: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  <w:r w:rsidRPr="00F6314D">
        <w:rPr>
          <w:rFonts w:ascii="Cambria" w:hAnsi="Cambria"/>
          <w:color w:val="3333CC"/>
          <w:sz w:val="28"/>
          <w:szCs w:val="28"/>
        </w:rPr>
        <w:t xml:space="preserve">          Иногда вам приходится ехать по оживленной автомагистрали, что требует спокойствия и полной концентрации вашего внимания. Чтобы </w:t>
      </w:r>
      <w:r w:rsidRPr="00F6314D">
        <w:rPr>
          <w:rFonts w:ascii="Cambria" w:hAnsi="Cambria"/>
          <w:color w:val="3333CC"/>
          <w:sz w:val="28"/>
          <w:szCs w:val="28"/>
        </w:rPr>
        <w:lastRenderedPageBreak/>
        <w:t>занять на это время ребенка, возьмите с собой песочные часы на 2—3 минуты. Если движение на дороге интенсивное или вы утомлены, дайте ребенку эти часы и попросите его сидеть тихо, пока песок пересыпается вниз. Если необходимо, пусть он перевернет их и подождет, пока песок пересыплется снова.</w:t>
      </w:r>
    </w:p>
    <w:tbl>
      <w:tblPr>
        <w:tblpPr w:leftFromText="180" w:rightFromText="180" w:vertAnchor="text" w:tblpX="8332" w:tblpY="-136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776"/>
      </w:tblGrid>
      <w:tr w:rsidR="00E52368" w:rsidRPr="00F6314D" w:rsidTr="00E52368">
        <w:trPr>
          <w:trHeight w:val="2252"/>
        </w:trPr>
        <w:tc>
          <w:tcPr>
            <w:tcW w:w="1675" w:type="dxa"/>
          </w:tcPr>
          <w:p w:rsidR="00E52368" w:rsidRPr="00F6314D" w:rsidRDefault="001A1BB5" w:rsidP="00E52368">
            <w:pPr>
              <w:jc w:val="both"/>
              <w:rPr>
                <w:rFonts w:ascii="Cambria" w:hAnsi="Cambria"/>
                <w:color w:val="3333CC"/>
                <w:sz w:val="28"/>
                <w:szCs w:val="28"/>
              </w:rPr>
            </w:pPr>
            <w:r>
              <w:rPr>
                <w:rFonts w:ascii="Cambria" w:hAnsi="Cambria"/>
                <w:noProof/>
                <w:color w:val="3333CC"/>
                <w:sz w:val="28"/>
                <w:szCs w:val="28"/>
              </w:rPr>
              <w:drawing>
                <wp:inline distT="0" distB="0" distL="0" distR="0">
                  <wp:extent cx="990600" cy="1390650"/>
                  <wp:effectExtent l="0" t="0" r="0" b="0"/>
                  <wp:docPr id="4" name="Рисунок 4" descr="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</w:p>
    <w:tbl>
      <w:tblPr>
        <w:tblpPr w:leftFromText="180" w:rightFromText="180" w:vertAnchor="text" w:horzAnchor="margin" w:tblpY="225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419"/>
      </w:tblGrid>
      <w:tr w:rsidR="00E52368" w:rsidRPr="00F6314D" w:rsidTr="00E52368">
        <w:trPr>
          <w:trHeight w:val="4244"/>
        </w:trPr>
        <w:tc>
          <w:tcPr>
            <w:tcW w:w="5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2368" w:rsidRPr="00F6314D" w:rsidRDefault="001A1BB5" w:rsidP="00E52368">
            <w:pPr>
              <w:jc w:val="both"/>
              <w:rPr>
                <w:rFonts w:ascii="Cambria" w:hAnsi="Cambria"/>
                <w:color w:val="3333CC"/>
                <w:sz w:val="28"/>
                <w:szCs w:val="28"/>
              </w:rPr>
            </w:pPr>
            <w:r>
              <w:rPr>
                <w:rFonts w:ascii="Cambria" w:hAnsi="Cambria"/>
                <w:noProof/>
                <w:color w:val="3333CC"/>
                <w:sz w:val="28"/>
                <w:szCs w:val="28"/>
              </w:rPr>
              <w:drawing>
                <wp:inline distT="0" distB="0" distL="0" distR="0">
                  <wp:extent cx="3295650" cy="2581275"/>
                  <wp:effectExtent l="0" t="0" r="0" b="9525"/>
                  <wp:docPr id="5" name="Рисунок 5" descr="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  <w:r w:rsidRPr="00F6314D">
        <w:rPr>
          <w:rFonts w:ascii="Cambria" w:hAnsi="Cambria"/>
          <w:color w:val="3333CC"/>
          <w:sz w:val="28"/>
          <w:szCs w:val="28"/>
        </w:rPr>
        <w:t xml:space="preserve">         Поездка в автомашине предоставляет счастливую возможность общения с ребенком, однако бывают моменты, когда ситуация на дороге требует всего вашего внимания. Ребенку трудно усидеть спокойно, пока вы сосредоточенно ведете машину. В такие моменты дайте ему плейер с наушниками. Пусть он слушает записи, которые вы сделали, купили или взяли в фонотеке. Но позднее обязательно найдите время, чтобы поговорить о том, что он слушал.</w:t>
      </w: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  <w:r w:rsidRPr="00F6314D">
        <w:rPr>
          <w:rFonts w:ascii="Cambria" w:hAnsi="Cambria"/>
          <w:color w:val="3333CC"/>
          <w:sz w:val="28"/>
          <w:szCs w:val="28"/>
        </w:rPr>
        <w:t>Полка универсама предлагает больше, чем просто пищу. Это богатый материал для разных занимательных поделок. Например, купите сухой завтрак «Колечки». Из этих вкусных кружочков могут получиться отличные бусы и браслеты. Привяжите конец нитки к столу, и пусть ваш ребенок, соединив потом концы нитки, сделает из этих кружочков длинные бусы. Затем положите бусы в пластиковый пакет до следующей поездки в машине. А тогда наденьте их ребенку на шею, и пусть он грызет их, когда захочет.</w:t>
      </w: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  <w:r w:rsidRPr="00F6314D">
        <w:rPr>
          <w:rFonts w:ascii="Cambria" w:hAnsi="Cambria"/>
          <w:color w:val="3333CC"/>
          <w:sz w:val="28"/>
          <w:szCs w:val="28"/>
        </w:rPr>
        <w:t>Пальцы-куклы.</w:t>
      </w: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</w:p>
    <w:tbl>
      <w:tblPr>
        <w:tblpPr w:leftFromText="180" w:rightFromText="180" w:vertAnchor="text" w:horzAnchor="margin" w:tblpXSpec="right" w:tblpY="164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2766"/>
      </w:tblGrid>
      <w:tr w:rsidR="00E52368" w:rsidRPr="00F6314D" w:rsidTr="00E52368">
        <w:trPr>
          <w:trHeight w:val="3510"/>
        </w:trPr>
        <w:tc>
          <w:tcPr>
            <w:tcW w:w="2751" w:type="dxa"/>
          </w:tcPr>
          <w:p w:rsidR="00E52368" w:rsidRPr="00F6314D" w:rsidRDefault="001A1BB5" w:rsidP="00E52368">
            <w:pPr>
              <w:jc w:val="both"/>
              <w:rPr>
                <w:rFonts w:ascii="Cambria" w:hAnsi="Cambria"/>
                <w:color w:val="3333CC"/>
                <w:sz w:val="28"/>
                <w:szCs w:val="28"/>
              </w:rPr>
            </w:pPr>
            <w:r>
              <w:rPr>
                <w:rFonts w:ascii="Cambria" w:hAnsi="Cambria"/>
                <w:noProof/>
                <w:color w:val="3333CC"/>
                <w:sz w:val="28"/>
                <w:szCs w:val="28"/>
              </w:rPr>
              <w:drawing>
                <wp:inline distT="0" distB="0" distL="0" distR="0">
                  <wp:extent cx="1609725" cy="2057400"/>
                  <wp:effectExtent l="0" t="0" r="9525" b="0"/>
                  <wp:docPr id="6" name="Рисунок 6" descr="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  <w:r w:rsidRPr="00F6314D">
        <w:rPr>
          <w:rFonts w:ascii="Cambria" w:hAnsi="Cambria"/>
          <w:color w:val="3333CC"/>
          <w:sz w:val="28"/>
          <w:szCs w:val="28"/>
        </w:rPr>
        <w:t>В часы пик вы с ребенком можете оказаться в потоке быстро движущихся машин и вам необходимо внимательно следить за дорогой. Это одна из игр, которая предназначена для той нетипичной ситуации, когда ребенок хочет поговорить с вами, а вы не можете. Отправляясь в путь, возьмите фломастер, а лучше два, разных цветов, и нарисуйте на пальцах вашего ребенка рожицы — улыбающуюся, недовольную и удивленную с открытым ртом — три на одной руке и две на другой.</w:t>
      </w: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</w:p>
    <w:p w:rsidR="00E52368" w:rsidRPr="00F6314D" w:rsidRDefault="00E52368" w:rsidP="00E52368">
      <w:pPr>
        <w:jc w:val="both"/>
        <w:rPr>
          <w:rFonts w:ascii="Cambria" w:hAnsi="Cambria"/>
          <w:color w:val="3333CC"/>
          <w:sz w:val="28"/>
          <w:szCs w:val="28"/>
        </w:rPr>
      </w:pPr>
      <w:r w:rsidRPr="00F6314D">
        <w:rPr>
          <w:rFonts w:ascii="Cambria" w:hAnsi="Cambria"/>
          <w:color w:val="3333CC"/>
          <w:sz w:val="28"/>
          <w:szCs w:val="28"/>
        </w:rPr>
        <w:t>Пусть ваш ребенок даст имя каждой «кукле» и познакомит их между собой. Спросите его, может ли он рассказать им сказку, спеть песенку и как-то развлечь их, пока вы будете ехать по оживленному участку дороги.</w:t>
      </w:r>
    </w:p>
    <w:p w:rsidR="00F305A9" w:rsidRPr="00E52368" w:rsidRDefault="00F305A9" w:rsidP="00E52368">
      <w:pPr>
        <w:jc w:val="both"/>
        <w:rPr>
          <w:rFonts w:ascii="Cambria" w:hAnsi="Cambria"/>
          <w:color w:val="1F497D"/>
          <w:sz w:val="28"/>
          <w:szCs w:val="28"/>
        </w:rPr>
      </w:pPr>
    </w:p>
    <w:sectPr w:rsidR="00F305A9" w:rsidRPr="00E52368" w:rsidSect="00E52368">
      <w:pgSz w:w="11906" w:h="16838"/>
      <w:pgMar w:top="851" w:right="849" w:bottom="1134" w:left="1134" w:header="709" w:footer="709" w:gutter="0"/>
      <w:pgBorders w:offsetFrom="page">
        <w:top w:val="ovals" w:sz="10" w:space="24" w:color="0000FF"/>
        <w:left w:val="ovals" w:sz="10" w:space="24" w:color="0000FF"/>
        <w:bottom w:val="ovals" w:sz="10" w:space="24" w:color="0000FF"/>
        <w:right w:val="ovals" w:sz="10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C1" w:rsidRDefault="005C3FC1" w:rsidP="00F305A9">
      <w:r>
        <w:separator/>
      </w:r>
    </w:p>
  </w:endnote>
  <w:endnote w:type="continuationSeparator" w:id="0">
    <w:p w:rsidR="005C3FC1" w:rsidRDefault="005C3FC1" w:rsidP="00F3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C1" w:rsidRDefault="005C3FC1" w:rsidP="00F305A9">
      <w:r>
        <w:separator/>
      </w:r>
    </w:p>
  </w:footnote>
  <w:footnote w:type="continuationSeparator" w:id="0">
    <w:p w:rsidR="005C3FC1" w:rsidRDefault="005C3FC1" w:rsidP="00F30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951"/>
    <w:multiLevelType w:val="hybridMultilevel"/>
    <w:tmpl w:val="7146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0210"/>
    <w:multiLevelType w:val="hybridMultilevel"/>
    <w:tmpl w:val="5436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6F"/>
    <w:rsid w:val="001A1BB5"/>
    <w:rsid w:val="001B6D78"/>
    <w:rsid w:val="001D37D8"/>
    <w:rsid w:val="002C37A8"/>
    <w:rsid w:val="0030426F"/>
    <w:rsid w:val="004F7047"/>
    <w:rsid w:val="005C3FC1"/>
    <w:rsid w:val="005D36EE"/>
    <w:rsid w:val="0068130F"/>
    <w:rsid w:val="009179F4"/>
    <w:rsid w:val="00930ACA"/>
    <w:rsid w:val="00DE04A5"/>
    <w:rsid w:val="00E52368"/>
    <w:rsid w:val="00F305A9"/>
    <w:rsid w:val="00F6314D"/>
    <w:rsid w:val="00FB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4"/>
    <w:rPr>
      <w:sz w:val="24"/>
      <w:szCs w:val="24"/>
    </w:rPr>
  </w:style>
  <w:style w:type="paragraph" w:styleId="1">
    <w:name w:val="heading 1"/>
    <w:basedOn w:val="a"/>
    <w:next w:val="a"/>
    <w:qFormat/>
    <w:rsid w:val="009179F4"/>
    <w:pPr>
      <w:keepNext/>
      <w:jc w:val="right"/>
      <w:outlineLvl w:val="0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5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5A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0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5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5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5A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0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5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«Вдоль по Питерской» или аварии на дороге</vt:lpstr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«Вдоль по Питерской» или аварии на дороге</dc:title>
  <dc:creator>MTV</dc:creator>
  <cp:lastModifiedBy>Марина</cp:lastModifiedBy>
  <cp:revision>2</cp:revision>
  <cp:lastPrinted>2007-04-06T17:20:00Z</cp:lastPrinted>
  <dcterms:created xsi:type="dcterms:W3CDTF">2014-11-16T12:00:00Z</dcterms:created>
  <dcterms:modified xsi:type="dcterms:W3CDTF">2014-11-16T12:00:00Z</dcterms:modified>
</cp:coreProperties>
</file>